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r>
              <w:rPr>
                <w:lang w:val="az-Latn-AZ"/>
              </w:rPr>
              <w:t>_______________________________</w:t>
            </w:r>
          </w:p>
          <w:p w:rsidR="00332E1C" w:rsidRDefault="009C46D7" w:rsidP="009C46D7">
            <w:pPr>
              <w:rPr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 xml:space="preserve">                         </w:t>
            </w:r>
            <w:r w:rsidR="00332E1C"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AC5FB5" w:rsidRDefault="00AC5FB5" w:rsidP="00332E1C">
      <w:pPr>
        <w:jc w:val="center"/>
        <w:rPr>
          <w:b/>
          <w:sz w:val="36"/>
          <w:szCs w:val="36"/>
          <w:lang w:val="az-Latn-AZ"/>
        </w:rPr>
      </w:pPr>
      <w:r w:rsidRPr="00D358FD">
        <w:rPr>
          <w:b/>
          <w:sz w:val="36"/>
          <w:szCs w:val="36"/>
          <w:u w:val="single"/>
          <w:lang w:val="az-Latn-AZ"/>
        </w:rPr>
        <w:t>_______________</w:t>
      </w:r>
      <w:r w:rsidR="003A7A37">
        <w:rPr>
          <w:b/>
          <w:sz w:val="36"/>
          <w:szCs w:val="36"/>
          <w:u w:val="single"/>
          <w:lang w:val="az-Latn-AZ"/>
        </w:rPr>
        <w:t>Katibə</w:t>
      </w:r>
      <w:r w:rsidR="00D358FD">
        <w:rPr>
          <w:b/>
          <w:sz w:val="36"/>
          <w:szCs w:val="36"/>
          <w:u w:val="single"/>
          <w:lang w:val="az-Latn-AZ"/>
        </w:rPr>
        <w:t>_</w:t>
      </w:r>
      <w:r w:rsidR="007219BA">
        <w:rPr>
          <w:b/>
          <w:sz w:val="36"/>
          <w:szCs w:val="36"/>
          <w:u w:val="single"/>
          <w:lang w:val="az-Latn-AZ"/>
        </w:rPr>
        <w:t>__</w:t>
      </w:r>
      <w:r w:rsidRPr="00D358FD">
        <w:rPr>
          <w:b/>
          <w:sz w:val="36"/>
          <w:szCs w:val="36"/>
          <w:u w:val="single"/>
          <w:lang w:val="az-Latn-AZ"/>
        </w:rPr>
        <w:t>________</w:t>
      </w:r>
      <w:r>
        <w:rPr>
          <w:b/>
          <w:sz w:val="36"/>
          <w:szCs w:val="36"/>
          <w:lang w:val="az-Latn-AZ"/>
        </w:rPr>
        <w:t xml:space="preserve"> </w:t>
      </w:r>
      <w:r w:rsidRPr="00AC5FB5">
        <w:rPr>
          <w:szCs w:val="36"/>
          <w:lang w:val="az-Latn-AZ"/>
        </w:rPr>
        <w:t>barədə</w:t>
      </w:r>
    </w:p>
    <w:p w:rsidR="00AC5FB5" w:rsidRPr="00AC5FB5" w:rsidRDefault="00AC5FB5" w:rsidP="00332E1C">
      <w:pPr>
        <w:jc w:val="center"/>
        <w:rPr>
          <w:sz w:val="20"/>
          <w:szCs w:val="36"/>
          <w:lang w:val="az-Latn-AZ"/>
        </w:rPr>
      </w:pPr>
      <w:r w:rsidRPr="00AC5FB5">
        <w:rPr>
          <w:sz w:val="20"/>
          <w:szCs w:val="36"/>
          <w:lang w:val="az-Latn-AZ"/>
        </w:rPr>
        <w:t>(</w:t>
      </w:r>
      <w:r w:rsidR="009C46D7">
        <w:rPr>
          <w:sz w:val="20"/>
          <w:szCs w:val="36"/>
          <w:lang w:val="az-Latn-AZ"/>
        </w:rPr>
        <w:t>vəzifənin</w:t>
      </w:r>
      <w:r w:rsidRPr="00AC5FB5">
        <w:rPr>
          <w:sz w:val="20"/>
          <w:szCs w:val="36"/>
          <w:lang w:val="az-Latn-AZ"/>
        </w:rPr>
        <w:t xml:space="preserve"> adı)</w:t>
      </w:r>
    </w:p>
    <w:p w:rsidR="00332E1C" w:rsidRDefault="009C46D7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VƏZİFƏ TƏLİMATI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AC5FB5" w:rsidRDefault="00AC5FB5" w:rsidP="00332E1C">
      <w:pPr>
        <w:jc w:val="both"/>
        <w:rPr>
          <w:lang w:val="az-Latn-AZ"/>
        </w:rPr>
      </w:pPr>
    </w:p>
    <w:p w:rsidR="00C85096" w:rsidRPr="00827683" w:rsidRDefault="00AC5FB5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827683">
        <w:rPr>
          <w:b/>
          <w:lang w:val="az-Latn-AZ"/>
        </w:rPr>
        <w:t>Ümumi müddəalar</w:t>
      </w:r>
    </w:p>
    <w:p w:rsidR="00AC5FB5" w:rsidRPr="003A7A37" w:rsidRDefault="00AC5FB5" w:rsidP="00AC5FB5">
      <w:pPr>
        <w:jc w:val="both"/>
        <w:rPr>
          <w:lang w:val="az-Latn-AZ"/>
        </w:rPr>
      </w:pP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Bu vəzifə təlimatı katibənin vəzifə ohdəliklərini, huquq və məsuliyyətini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muəyyən edir.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Katibə vəzifəsinə, iş stajına tələb qoyulmadan, ali peşə təhsili olan və ya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orta peşə təhsili və ixtisası uzrə ən azı 2 il iş stajı olan şəxs təyin edilir.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Katibə Azərbaycan Respublikasının quvvədə olan qanunvericiliyinə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uyğun olaraq muəssisə rəhbərinin əmri ilə vəzifəyə təyin və vəzifədən azad edilir.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Katibə bilavasitə muəssisənin rəhbərinə tabe olur.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Katibə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aşağıdakıları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bilməlidir</w:t>
      </w:r>
      <w:proofErr w:type="spellEnd"/>
      <w:r w:rsidRPr="003A7A37">
        <w:rPr>
          <w:rFonts w:eastAsia="TimesNewRomanPSMT"/>
          <w:lang w:val="en-US" w:eastAsia="en-US"/>
        </w:rPr>
        <w:t>: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Azərbaycan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Respublikasının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Konstitusiyasını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muəssisənin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fəaliyyətinə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dair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qərar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sərəncam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əmr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rəhbər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materialları</w:t>
      </w:r>
      <w:proofErr w:type="spellEnd"/>
      <w:r w:rsidRPr="003A7A37">
        <w:rPr>
          <w:rFonts w:eastAsia="TimesNewRomanPSMT"/>
          <w:lang w:val="en-US" w:eastAsia="en-US"/>
        </w:rPr>
        <w:t>,</w:t>
      </w:r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normativ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sənədləri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karguzarlığın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aparılmasını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muəssisənin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onun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bolmələrinin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strukturunu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rəhbər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heyətini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karguzarlığın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təşkilini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sənədlərin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işlənilməsi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rəsmiləşdirilməsi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metodlarını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arxiv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işini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qəbul-danışma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qurğuları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sisteminin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istifadəsi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qaydalarını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numunəvi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formalardan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istifadə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etməklə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işguzar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məktubların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>
        <w:rPr>
          <w:rFonts w:eastAsia="TimesNewRomanPSMT"/>
          <w:lang w:val="en-US" w:eastAsia="en-US"/>
        </w:rPr>
        <w:t>ç</w:t>
      </w:r>
      <w:r w:rsidRPr="003A7A37">
        <w:rPr>
          <w:rFonts w:eastAsia="TimesNewRomanPSMT"/>
          <w:lang w:val="en-US" w:eastAsia="en-US"/>
        </w:rPr>
        <w:t>ap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edilməsi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qaydalarını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etika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estetikanın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əsaslarını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işguzar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unsiyyət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qaydalarını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əməyin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idarəetmənin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təşkilinin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əsaslarını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hesablama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texnikasının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istismarı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qaydalarını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inzibati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huququn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əmək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qanunvericiliyinin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əsaslarını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proofErr w:type="gramStart"/>
      <w:r w:rsidRPr="003A7A37">
        <w:rPr>
          <w:rFonts w:eastAsia="TimesNewRomanPSMT"/>
          <w:lang w:val="en-US" w:eastAsia="en-US"/>
        </w:rPr>
        <w:t>daxili</w:t>
      </w:r>
      <w:proofErr w:type="spellEnd"/>
      <w:proofErr w:type="gram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əmək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intizamı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qaydalarını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əməyin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muhafizəsinin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norma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qaydalarını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bilməlidir</w:t>
      </w:r>
      <w:proofErr w:type="spellEnd"/>
      <w:r w:rsidRPr="003A7A37">
        <w:rPr>
          <w:rFonts w:eastAsia="TimesNewRomanPSMT"/>
          <w:lang w:val="en-US" w:eastAsia="en-US"/>
        </w:rPr>
        <w:t>.</w:t>
      </w:r>
    </w:p>
    <w:p w:rsidR="00AC5FB5" w:rsidRPr="003A7A37" w:rsidRDefault="00AC5FB5" w:rsidP="00AC5FB5">
      <w:pPr>
        <w:pStyle w:val="ListParagraph"/>
        <w:ind w:left="0"/>
        <w:rPr>
          <w:lang w:val="en-US"/>
        </w:rPr>
      </w:pPr>
    </w:p>
    <w:p w:rsidR="00AC5FB5" w:rsidRPr="003A7A37" w:rsidRDefault="00AC5FB5" w:rsidP="00AC5FB5">
      <w:pPr>
        <w:rPr>
          <w:lang w:val="az-Latn-AZ"/>
        </w:rPr>
      </w:pPr>
    </w:p>
    <w:p w:rsidR="00AC5FB5" w:rsidRPr="003A7A37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3A7A37">
        <w:rPr>
          <w:b/>
          <w:lang w:val="az-Latn-AZ"/>
        </w:rPr>
        <w:t>Vəzifə öhdəlikləri</w:t>
      </w:r>
    </w:p>
    <w:p w:rsidR="00AC5FB5" w:rsidRPr="003A7A37" w:rsidRDefault="00AC5FB5" w:rsidP="00AC5FB5">
      <w:pPr>
        <w:rPr>
          <w:lang w:val="az-Latn-AZ"/>
        </w:rPr>
      </w:pP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Katibə muəssisənin inzibati-sərəncamcı fəaliyyətinin təşkilati-texniki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təminatı uzrə işi həyata kecirir.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lastRenderedPageBreak/>
        <w:t>Rəhbərin baxması ucun daxil olan korrespondensiyanı qəbul edir, qəbul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edilmiş qərara uyğun olaraq onu iş prosesində istifadə edilməsi, yaxud cavab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hazırlanması ucun struktur bolmələrinə və ya konkret icracılara verir.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Karguzarlığı aparır, qərarların hazırlanması və qəbul edilməsi zamanı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məlumatların toplanılması, işlənilməsi və təqdim olunması ucun komputer texnikasını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tətbiq etməklə muxtəlif əməliyyatları yerinə yetirir.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Muəssisənin rəhbərinin imzalaması ucun sənədləri və şəxsi ərizələri qəbul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edir.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Rəhbərin işi ucun zəruri olan sənədləri və materialları hazırlayır.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İcraya daxil olmuş sənədlərin struktur bolmələrinin rəhbərləri və konkret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icracılar tərəfindən vaxtında baxılması və təqdim olunmasını izləyir, rəhbərin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imzalaması ucun təqdim olunan sənədlərin hazırlanmış layihələrinin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rəsmiləşdirilməsinin duzgunluyunu yoxlayır, onların keyfiyyətli redaktə olunmasını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təmin edir.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Rəhbərin telefon danışıqları aparmasını təmin edir, onun yerində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olmadığı halda alınmış məlumatları qeyd edir və ona catdırır, məlumatları qəbuldanışıq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qurğuları, eləcə də telefonoqramlarla verir və qəbul edir.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Rəhbərin tapşırığı ilə məktubları, sorğuları və digər sənədləri tərtib edir,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məktub muəlliflərinə cavabları hazırlayır.</w:t>
      </w:r>
    </w:p>
    <w:p w:rsidR="00C360B5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Rəhbər tərəfindən aparılan iclasların və muşavirələrin hazırlanması uzrə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işi (zəruri materialların toplanılması, iştirakcıların tədbirin kecirimə vaxtı və yeri,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gundəliyi və qeydiyyat barədə məlumatlandırılması) yerinə yetirir, iclasların və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muşavirələrin protokollarını rəsmiləşdirir.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Verilmiş əmr və sərəncamların muəssisənin işciləri tərəfindən icrasına,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eləcə də muəssisənin rəhbərinin nəzarət goturulmuş gostəriş və tapşırıqlarının yerinə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yetirilməsi vaxtına riayət olunmasına nəzarəti həyata kecirir.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Rəhbərin iş yerini zəruri təşkilati texnika ilə, dəftərxana ləvazimatları ilə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təmin edir, onun effektiv işinə imkan verən şəraiti yaradır.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Rəhbərin gostərişləri uzrə onun işi ucun lazım olan xidməti materialları</w:t>
      </w:r>
      <w:r w:rsidRPr="003A7A37">
        <w:rPr>
          <w:rFonts w:eastAsia="TimesNewRomanPSMT"/>
          <w:lang w:val="az-Latn-AZ" w:eastAsia="en-US"/>
        </w:rPr>
        <w:t xml:space="preserve"> ç</w:t>
      </w:r>
      <w:r w:rsidRPr="003A7A37">
        <w:rPr>
          <w:rFonts w:eastAsia="TimesNewRomanPSMT"/>
          <w:lang w:val="az-Latn-AZ" w:eastAsia="en-US"/>
        </w:rPr>
        <w:t>ap edir, cari informasiyaları məlumatlar bankına daxil edir.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Qonaqların qəbulunu təşkil edir, işcilərin xahiş və təkliflərinə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baxılmasının operativliyinə komək edir.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Təsdiq edilmiş nomenklaturaya uyğun olaraq işləri formalaşdırır, onların</w:t>
      </w:r>
      <w:r w:rsidRPr="003A7A37">
        <w:rPr>
          <w:rFonts w:eastAsia="TimesNewRomanPSMT"/>
          <w:lang w:val="az-Latn-AZ" w:eastAsia="en-US"/>
        </w:rPr>
        <w:t xml:space="preserve"> </w:t>
      </w:r>
      <w:r w:rsidRPr="003A7A37">
        <w:rPr>
          <w:rFonts w:eastAsia="TimesNewRomanPSMT"/>
          <w:lang w:val="az-Latn-AZ" w:eastAsia="en-US"/>
        </w:rPr>
        <w:t>saxlanılmasını və muəyyən olunmuş muddətlərdə arxivə təhvil verilməsini təmin edir.</w:t>
      </w: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az-Latn-AZ" w:eastAsia="en-US"/>
        </w:rPr>
      </w:pPr>
      <w:r w:rsidRPr="003A7A37">
        <w:rPr>
          <w:rFonts w:eastAsia="TimesNewRomanPSMT"/>
          <w:lang w:val="az-Latn-AZ" w:eastAsia="en-US"/>
        </w:rPr>
        <w:t>Surətcıxarma aparatı vasitəsi ilə sənədlərin surətlərini cıxarır.</w:t>
      </w:r>
    </w:p>
    <w:p w:rsidR="003A7A37" w:rsidRPr="003A7A37" w:rsidRDefault="003A7A37" w:rsidP="003A7A37">
      <w:pPr>
        <w:autoSpaceDE w:val="0"/>
        <w:autoSpaceDN w:val="0"/>
        <w:adjustRightInd w:val="0"/>
        <w:rPr>
          <w:rFonts w:eastAsia="TimesNewRomanPSMT"/>
          <w:lang w:val="az-Latn-AZ" w:eastAsia="en-US"/>
        </w:rPr>
      </w:pPr>
    </w:p>
    <w:p w:rsidR="00E70360" w:rsidRPr="003A7A37" w:rsidRDefault="00E70360" w:rsidP="00E70360">
      <w:pPr>
        <w:pStyle w:val="ListParagraph"/>
        <w:autoSpaceDE w:val="0"/>
        <w:autoSpaceDN w:val="0"/>
        <w:adjustRightInd w:val="0"/>
        <w:rPr>
          <w:rFonts w:eastAsia="TimesNewRomanPSMT"/>
          <w:lang w:val="az-Latn-AZ" w:eastAsia="en-US"/>
        </w:rPr>
      </w:pPr>
    </w:p>
    <w:p w:rsidR="00AC5FB5" w:rsidRPr="003A7A37" w:rsidRDefault="00AC5FB5" w:rsidP="00AC5FB5">
      <w:pPr>
        <w:rPr>
          <w:lang w:val="az-Latn-AZ"/>
        </w:rPr>
      </w:pPr>
    </w:p>
    <w:p w:rsidR="00AC5FB5" w:rsidRPr="003A7A37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3A7A37">
        <w:rPr>
          <w:b/>
          <w:lang w:val="az-Latn-AZ"/>
        </w:rPr>
        <w:t>Hüquqlar</w:t>
      </w:r>
    </w:p>
    <w:p w:rsidR="00AC5FB5" w:rsidRPr="003A7A37" w:rsidRDefault="00AC5FB5" w:rsidP="00AC5FB5">
      <w:pPr>
        <w:rPr>
          <w:lang w:val="az-Latn-AZ"/>
        </w:rPr>
      </w:pP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Katibənin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aşağıdakı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huquqları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vardır</w:t>
      </w:r>
      <w:proofErr w:type="spellEnd"/>
      <w:r w:rsidRPr="003A7A37">
        <w:rPr>
          <w:rFonts w:eastAsia="TimesNewRomanPSMT"/>
          <w:lang w:val="en-US" w:eastAsia="en-US"/>
        </w:rPr>
        <w:t>: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ozunun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əmək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fəaliyyətinin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təşkili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şərtləri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uzrə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rəhbərliyə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təkliflər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vermək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oz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vəzifə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ohdəliklərinin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icrası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ucun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zəruri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olan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informasiya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materiallarını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normativ-huquqi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sənədləri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rəhbərlikdən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tələb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etmək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əldə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etmək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istifadə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etmək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proofErr w:type="gramStart"/>
      <w:r w:rsidRPr="003A7A37">
        <w:rPr>
          <w:rFonts w:eastAsia="TimesNewRomanPSMT"/>
          <w:lang w:val="en-US" w:eastAsia="en-US"/>
        </w:rPr>
        <w:t>oz</w:t>
      </w:r>
      <w:proofErr w:type="spellEnd"/>
      <w:proofErr w:type="gram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ixtisasını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artırmaq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huquqlarına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malikdir</w:t>
      </w:r>
      <w:proofErr w:type="spellEnd"/>
      <w:r w:rsidRPr="003A7A37">
        <w:rPr>
          <w:rFonts w:eastAsia="TimesNewRomanPSMT"/>
          <w:lang w:val="en-US" w:eastAsia="en-US"/>
        </w:rPr>
        <w:t>.</w:t>
      </w:r>
    </w:p>
    <w:p w:rsidR="009006C8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Katibə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Azərbaycan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Respublikasının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Əmək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Məcəlləsinə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uyğun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olaraq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butun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əmək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huquqlarından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istifadə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edir</w:t>
      </w:r>
      <w:proofErr w:type="spellEnd"/>
      <w:r w:rsidRPr="003A7A37">
        <w:rPr>
          <w:rFonts w:eastAsia="TimesNewRomanPSMT"/>
          <w:lang w:val="en-US" w:eastAsia="en-US"/>
        </w:rPr>
        <w:t>.</w:t>
      </w:r>
    </w:p>
    <w:p w:rsidR="003A7A37" w:rsidRPr="003A7A37" w:rsidRDefault="003A7A37" w:rsidP="003A7A37">
      <w:pPr>
        <w:rPr>
          <w:rFonts w:eastAsia="TimesNewRomanPSMT"/>
          <w:lang w:val="en-US" w:eastAsia="en-US"/>
        </w:rPr>
      </w:pPr>
    </w:p>
    <w:p w:rsidR="003A7A37" w:rsidRPr="003A7A37" w:rsidRDefault="003A7A37" w:rsidP="003A7A37">
      <w:pPr>
        <w:rPr>
          <w:lang w:val="az-Latn-AZ"/>
        </w:rPr>
      </w:pPr>
    </w:p>
    <w:p w:rsidR="00AC5FB5" w:rsidRPr="003A7A37" w:rsidRDefault="009C46D7" w:rsidP="00827683">
      <w:pPr>
        <w:pStyle w:val="ListParagraph"/>
        <w:numPr>
          <w:ilvl w:val="0"/>
          <w:numId w:val="1"/>
        </w:numPr>
        <w:jc w:val="center"/>
        <w:rPr>
          <w:b/>
          <w:lang w:val="az-Latn-AZ"/>
        </w:rPr>
      </w:pPr>
      <w:r w:rsidRPr="003A7A37">
        <w:rPr>
          <w:b/>
          <w:lang w:val="az-Latn-AZ"/>
        </w:rPr>
        <w:t>Məsuliyyət</w:t>
      </w:r>
    </w:p>
    <w:p w:rsidR="009006C8" w:rsidRPr="003A7A37" w:rsidRDefault="009006C8" w:rsidP="009006C8">
      <w:pPr>
        <w:autoSpaceDE w:val="0"/>
        <w:autoSpaceDN w:val="0"/>
        <w:adjustRightInd w:val="0"/>
        <w:rPr>
          <w:rFonts w:eastAsia="TimesNewRomanPSMT"/>
          <w:lang w:val="en-US" w:eastAsia="en-US"/>
        </w:rPr>
      </w:pPr>
    </w:p>
    <w:p w:rsidR="003A7A37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Katibə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aşağıdakılara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gorə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məsuliyyət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daşıyır</w:t>
      </w:r>
      <w:proofErr w:type="spellEnd"/>
      <w:r w:rsidRPr="003A7A37">
        <w:rPr>
          <w:rFonts w:eastAsia="TimesNewRomanPSMT"/>
          <w:lang w:val="en-US" w:eastAsia="en-US"/>
        </w:rPr>
        <w:t>: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ona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həvalə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olunmuş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vəzifə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ohdəliklərinin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vaxtında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keyfiyyətli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həyata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kecirilməsinə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lastRenderedPageBreak/>
        <w:t>oz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fəaliyyəti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uzrə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rəhbərliyin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əmr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sərəncam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tapşırıqlarının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>
        <w:rPr>
          <w:rFonts w:eastAsia="TimesNewRomanPSMT"/>
          <w:lang w:val="en-US" w:eastAsia="en-US"/>
        </w:rPr>
        <w:t>normativ-</w:t>
      </w:r>
      <w:r w:rsidRPr="003A7A37">
        <w:rPr>
          <w:rFonts w:eastAsia="TimesNewRomanPSMT"/>
          <w:lang w:val="en-US" w:eastAsia="en-US"/>
        </w:rPr>
        <w:t>huquqi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aktların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tələblərinin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vaxtında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muvafiq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qaydada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yerinə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yetirilməsinə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daxili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intizam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yanğın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təhlukəsizliyi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təhlukəsizlik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texnikası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qaydalarına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riayət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edilməsinə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quvvədə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olan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normativ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huquqi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sənədlərdə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nəzərdə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tutulmuş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sənədləşdirmənin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aparılmasına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3A7A37" w:rsidRPr="003A7A37" w:rsidRDefault="003A7A37" w:rsidP="003A7A37">
      <w:pPr>
        <w:pStyle w:val="ListParagraph"/>
        <w:numPr>
          <w:ilvl w:val="1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muəssisənin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fəaliyyətinə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işcilərinə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digər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şəxslərə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təhlukə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yaradan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təhlukəsizlik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texnikası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yanğına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qarşı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sanitariya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qaydalarının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pozulmasının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aradan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qaldırılması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uzrə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rəhbərliyin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vaxtında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məlumatlandırılması</w:t>
      </w:r>
      <w:proofErr w:type="spellEnd"/>
      <w:r w:rsidRPr="003A7A37">
        <w:rPr>
          <w:rFonts w:eastAsia="TimesNewRomanPSMT"/>
          <w:lang w:val="en-US" w:eastAsia="en-US"/>
        </w:rPr>
        <w:t xml:space="preserve"> da </w:t>
      </w:r>
      <w:proofErr w:type="spellStart"/>
      <w:r w:rsidRPr="003A7A37">
        <w:rPr>
          <w:rFonts w:eastAsia="TimesNewRomanPSMT"/>
          <w:lang w:val="en-US" w:eastAsia="en-US"/>
        </w:rPr>
        <w:t>daxil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olmaqla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operativ</w:t>
      </w:r>
      <w:proofErr w:type="spellEnd"/>
      <w:r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tədbirlər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həyata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kecirilməsinə</w:t>
      </w:r>
      <w:proofErr w:type="spellEnd"/>
      <w:r w:rsidRPr="003A7A37">
        <w:rPr>
          <w:rFonts w:eastAsia="TimesNewRomanPSMT"/>
          <w:lang w:val="en-US" w:eastAsia="en-US"/>
        </w:rPr>
        <w:t>;</w:t>
      </w:r>
    </w:p>
    <w:p w:rsidR="00D358FD" w:rsidRPr="003A7A37" w:rsidRDefault="003A7A37" w:rsidP="003A7A37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eastAsia="TimesNewRomanPSMT"/>
          <w:lang w:val="en-US" w:eastAsia="en-US"/>
        </w:rPr>
      </w:pPr>
      <w:proofErr w:type="spellStart"/>
      <w:r w:rsidRPr="003A7A37">
        <w:rPr>
          <w:rFonts w:eastAsia="TimesNewRomanPSMT"/>
          <w:lang w:val="en-US" w:eastAsia="en-US"/>
        </w:rPr>
        <w:t>Katibə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əmək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intizamının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qanunvericilik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normativ-huquqi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aktların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pozulmasına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gorə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quvvədə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olan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qanunvericiliyə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əsasən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təqsirin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ağırlıq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dərəcəsindən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asılı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olaraq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intizam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maddi</w:t>
      </w:r>
      <w:proofErr w:type="spellEnd"/>
      <w:r w:rsidRPr="003A7A37">
        <w:rPr>
          <w:rFonts w:eastAsia="TimesNewRomanPSMT"/>
          <w:lang w:val="en-US" w:eastAsia="en-US"/>
        </w:rPr>
        <w:t xml:space="preserve">, </w:t>
      </w:r>
      <w:proofErr w:type="spellStart"/>
      <w:r w:rsidRPr="003A7A37">
        <w:rPr>
          <w:rFonts w:eastAsia="TimesNewRomanPSMT"/>
          <w:lang w:val="en-US" w:eastAsia="en-US"/>
        </w:rPr>
        <w:t>inzibati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və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ya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cinayət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məsuliyyətinə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cəlb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edilə</w:t>
      </w:r>
      <w:proofErr w:type="spellEnd"/>
      <w:r w:rsidRPr="003A7A37">
        <w:rPr>
          <w:rFonts w:eastAsia="TimesNewRomanPSMT"/>
          <w:lang w:val="en-US" w:eastAsia="en-US"/>
        </w:rPr>
        <w:t xml:space="preserve"> </w:t>
      </w:r>
      <w:proofErr w:type="spellStart"/>
      <w:r w:rsidRPr="003A7A37">
        <w:rPr>
          <w:rFonts w:eastAsia="TimesNewRomanPSMT"/>
          <w:lang w:val="en-US" w:eastAsia="en-US"/>
        </w:rPr>
        <w:t>bilər</w:t>
      </w:r>
      <w:proofErr w:type="spellEnd"/>
      <w:r w:rsidRPr="003A7A37">
        <w:rPr>
          <w:rFonts w:eastAsia="TimesNewRomanPSMT"/>
          <w:lang w:val="en-US" w:eastAsia="en-US"/>
        </w:rPr>
        <w:t>.</w:t>
      </w:r>
    </w:p>
    <w:p w:rsidR="003A7A37" w:rsidRPr="003A7A37" w:rsidRDefault="003A7A37" w:rsidP="003A7A37">
      <w:pPr>
        <w:tabs>
          <w:tab w:val="left" w:pos="3420"/>
        </w:tabs>
        <w:jc w:val="both"/>
        <w:rPr>
          <w:rFonts w:eastAsia="TimesNewRomanPSMT"/>
          <w:lang w:val="en-US" w:eastAsia="en-US"/>
        </w:rPr>
      </w:pPr>
    </w:p>
    <w:p w:rsidR="003A7A37" w:rsidRDefault="003A7A37" w:rsidP="003A7A37">
      <w:pPr>
        <w:tabs>
          <w:tab w:val="left" w:pos="3420"/>
        </w:tabs>
        <w:jc w:val="both"/>
        <w:rPr>
          <w:b/>
          <w:lang w:val="az-Latn-AZ"/>
        </w:rPr>
      </w:pPr>
    </w:p>
    <w:p w:rsidR="003A7A37" w:rsidRPr="00C360B5" w:rsidRDefault="003A7A37" w:rsidP="003A7A37">
      <w:pPr>
        <w:tabs>
          <w:tab w:val="left" w:pos="3420"/>
        </w:tabs>
        <w:jc w:val="both"/>
        <w:rPr>
          <w:b/>
          <w:lang w:val="az-Latn-AZ"/>
        </w:rPr>
      </w:pPr>
    </w:p>
    <w:p w:rsidR="00C85096" w:rsidRDefault="004C0B1E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>
        <w:rPr>
          <w:b/>
          <w:lang w:val="az-Latn-AZ"/>
        </w:rPr>
        <w:t>Struktur bölmənin rəhbəri</w:t>
      </w:r>
      <w:r w:rsidR="00C85096">
        <w:rPr>
          <w:lang w:val="az-Latn-AZ"/>
        </w:rPr>
        <w:t xml:space="preserve">   </w:t>
      </w:r>
      <w:r w:rsidR="00C85096">
        <w:rPr>
          <w:sz w:val="28"/>
          <w:szCs w:val="28"/>
          <w:lang w:val="az-Latn-AZ"/>
        </w:rPr>
        <w:t>_________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 xml:space="preserve">  </w:t>
      </w:r>
      <w:r w:rsidR="00C85096" w:rsidRPr="001C6886">
        <w:rPr>
          <w:sz w:val="28"/>
          <w:szCs w:val="28"/>
          <w:lang w:val="az-Latn-AZ"/>
        </w:rPr>
        <w:t>___</w:t>
      </w:r>
      <w:r w:rsidR="00C85096">
        <w:rPr>
          <w:sz w:val="28"/>
          <w:szCs w:val="28"/>
          <w:lang w:val="az-Latn-AZ"/>
        </w:rPr>
        <w:t>_______</w:t>
      </w:r>
      <w:r w:rsidR="00C85096"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                  </w:t>
      </w:r>
      <w:r>
        <w:rPr>
          <w:sz w:val="20"/>
          <w:szCs w:val="28"/>
          <w:lang w:val="az-Latn-AZ"/>
        </w:rPr>
        <w:t xml:space="preserve">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D358FD" w:rsidRDefault="00D358FD" w:rsidP="00C85096">
      <w:pPr>
        <w:tabs>
          <w:tab w:val="left" w:pos="3420"/>
        </w:tabs>
        <w:jc w:val="both"/>
        <w:rPr>
          <w:b/>
          <w:szCs w:val="28"/>
          <w:lang w:val="az-Latn-AZ"/>
        </w:rPr>
      </w:pP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C85096">
        <w:rPr>
          <w:b/>
          <w:szCs w:val="28"/>
          <w:lang w:val="az-Latn-AZ"/>
        </w:rPr>
        <w:t>Tanış oldum: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C85096" w:rsidRDefault="00C85096" w:rsidP="00C85096">
      <w:pPr>
        <w:jc w:val="both"/>
        <w:rPr>
          <w:lang w:val="az-Latn-AZ"/>
        </w:rPr>
      </w:pPr>
      <w:r>
        <w:rPr>
          <w:sz w:val="20"/>
          <w:szCs w:val="28"/>
          <w:lang w:val="az-Latn-AZ"/>
        </w:rPr>
        <w:t xml:space="preserve">                                               imza                                                 tarix          </w:t>
      </w:r>
    </w:p>
    <w:p w:rsidR="00F4413B" w:rsidRPr="005F6EE6" w:rsidRDefault="00F4413B" w:rsidP="00332E1C">
      <w:pPr>
        <w:rPr>
          <w:lang w:val="az-Latn-AZ"/>
        </w:rPr>
      </w:pPr>
      <w:bookmarkStart w:id="0" w:name="_GoBack"/>
      <w:bookmarkEnd w:id="0"/>
    </w:p>
    <w:sectPr w:rsidR="00F4413B" w:rsidRPr="005F6EE6" w:rsidSect="00D358FD">
      <w:pgSz w:w="11906" w:h="16838"/>
      <w:pgMar w:top="1134" w:right="851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A7C"/>
    <w:multiLevelType w:val="multilevel"/>
    <w:tmpl w:val="49825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7CC46A5"/>
    <w:multiLevelType w:val="multilevel"/>
    <w:tmpl w:val="49825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B5C773B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BA017D0"/>
    <w:multiLevelType w:val="hybridMultilevel"/>
    <w:tmpl w:val="CCF0912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56571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18E37FDD"/>
    <w:multiLevelType w:val="hybridMultilevel"/>
    <w:tmpl w:val="4D42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0AEE"/>
    <w:multiLevelType w:val="hybridMultilevel"/>
    <w:tmpl w:val="F87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D3B70"/>
    <w:multiLevelType w:val="hybridMultilevel"/>
    <w:tmpl w:val="148A5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6267F"/>
    <w:multiLevelType w:val="hybridMultilevel"/>
    <w:tmpl w:val="19E8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E08AB"/>
    <w:multiLevelType w:val="multilevel"/>
    <w:tmpl w:val="5F246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2D665553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E0A5357"/>
    <w:multiLevelType w:val="multilevel"/>
    <w:tmpl w:val="5F246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3E5A55C2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4E4D37C0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E5D185B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1101E4D"/>
    <w:multiLevelType w:val="multilevel"/>
    <w:tmpl w:val="49825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589F18C4"/>
    <w:multiLevelType w:val="multilevel"/>
    <w:tmpl w:val="4E58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5D455D11"/>
    <w:multiLevelType w:val="multilevel"/>
    <w:tmpl w:val="2DD8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11360A5"/>
    <w:multiLevelType w:val="hybridMultilevel"/>
    <w:tmpl w:val="C812E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57513"/>
    <w:multiLevelType w:val="multilevel"/>
    <w:tmpl w:val="E9EEF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F3644F8"/>
    <w:multiLevelType w:val="multilevel"/>
    <w:tmpl w:val="5F246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7D90566E"/>
    <w:multiLevelType w:val="multilevel"/>
    <w:tmpl w:val="2622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0"/>
  </w:num>
  <w:num w:numId="5">
    <w:abstractNumId w:val="21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17"/>
  </w:num>
  <w:num w:numId="11">
    <w:abstractNumId w:val="18"/>
  </w:num>
  <w:num w:numId="12">
    <w:abstractNumId w:val="4"/>
  </w:num>
  <w:num w:numId="13">
    <w:abstractNumId w:val="16"/>
  </w:num>
  <w:num w:numId="14">
    <w:abstractNumId w:val="12"/>
  </w:num>
  <w:num w:numId="15">
    <w:abstractNumId w:val="5"/>
  </w:num>
  <w:num w:numId="16">
    <w:abstractNumId w:val="9"/>
  </w:num>
  <w:num w:numId="17">
    <w:abstractNumId w:val="11"/>
  </w:num>
  <w:num w:numId="18">
    <w:abstractNumId w:val="20"/>
  </w:num>
  <w:num w:numId="19">
    <w:abstractNumId w:val="8"/>
  </w:num>
  <w:num w:numId="20">
    <w:abstractNumId w:val="15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260814"/>
    <w:rsid w:val="00332E1C"/>
    <w:rsid w:val="003A7A37"/>
    <w:rsid w:val="004C0B1E"/>
    <w:rsid w:val="005F6EE6"/>
    <w:rsid w:val="007219BA"/>
    <w:rsid w:val="0079085F"/>
    <w:rsid w:val="007C14C6"/>
    <w:rsid w:val="00827683"/>
    <w:rsid w:val="009006C8"/>
    <w:rsid w:val="009A47F4"/>
    <w:rsid w:val="009C46D7"/>
    <w:rsid w:val="00AC5FB5"/>
    <w:rsid w:val="00C360B5"/>
    <w:rsid w:val="00C85096"/>
    <w:rsid w:val="00CF22E6"/>
    <w:rsid w:val="00D358FD"/>
    <w:rsid w:val="00E20727"/>
    <w:rsid w:val="00E70360"/>
    <w:rsid w:val="00F4413B"/>
    <w:rsid w:val="00F7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15</cp:revision>
  <dcterms:created xsi:type="dcterms:W3CDTF">2018-11-28T07:33:00Z</dcterms:created>
  <dcterms:modified xsi:type="dcterms:W3CDTF">2019-03-06T08:40:00Z</dcterms:modified>
</cp:coreProperties>
</file>